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28" w:rsidRPr="00C25ACB" w:rsidRDefault="006C662A" w:rsidP="006C66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25ACB">
        <w:rPr>
          <w:rFonts w:asciiTheme="majorHAnsi" w:hAnsiTheme="majorHAnsi" w:cs="Times New Roman"/>
          <w:b/>
          <w:sz w:val="28"/>
          <w:szCs w:val="28"/>
        </w:rPr>
        <w:t>Informace pro veřejnost pro objekty zařazené do skupiny A</w:t>
      </w:r>
    </w:p>
    <w:p w:rsidR="00EB0D05" w:rsidRPr="00C25ACB" w:rsidRDefault="00EB0D05" w:rsidP="00EB0D05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1. Identifikace objektu</w:t>
      </w:r>
    </w:p>
    <w:p w:rsidR="00EB0D05" w:rsidRPr="00C25ACB" w:rsidRDefault="00EB0D05" w:rsidP="00C25A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8"/>
          <w:szCs w:val="28"/>
        </w:rPr>
        <w:t>Temperatior s.r.o.</w:t>
      </w:r>
      <w:r w:rsidR="00BD364E" w:rsidRPr="00C25ACB">
        <w:rPr>
          <w:rFonts w:asciiTheme="majorHAnsi" w:hAnsiTheme="majorHAnsi" w:cs="Times New Roman"/>
          <w:sz w:val="28"/>
          <w:szCs w:val="28"/>
        </w:rPr>
        <w:t>,</w:t>
      </w:r>
      <w:r w:rsidR="00BD364E" w:rsidRPr="00C25ACB">
        <w:rPr>
          <w:rFonts w:asciiTheme="majorHAnsi" w:hAnsiTheme="majorHAnsi" w:cs="Times New Roman"/>
          <w:sz w:val="24"/>
          <w:szCs w:val="24"/>
        </w:rPr>
        <w:t xml:space="preserve"> </w:t>
      </w:r>
      <w:r w:rsidRPr="00C25ACB">
        <w:rPr>
          <w:rFonts w:asciiTheme="majorHAnsi" w:hAnsiTheme="majorHAnsi" w:cs="Times New Roman"/>
          <w:sz w:val="24"/>
          <w:szCs w:val="24"/>
        </w:rPr>
        <w:t>se sídlem Kociánova 453/11, Libere</w:t>
      </w:r>
      <w:r w:rsidR="00C25ACB" w:rsidRPr="00C25ACB">
        <w:rPr>
          <w:rFonts w:asciiTheme="majorHAnsi" w:hAnsiTheme="majorHAnsi" w:cs="Times New Roman"/>
          <w:sz w:val="24"/>
          <w:szCs w:val="24"/>
        </w:rPr>
        <w:t>c VI – Rochlice, IČ: 278 81 369.</w:t>
      </w:r>
      <w:r w:rsidR="00BD364E" w:rsidRPr="00C25AC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C7CD3" w:rsidRPr="00C25ACB" w:rsidRDefault="00AC7CD3" w:rsidP="00C25ACB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Objekt provozovny je situován v oploceném areálu  (dříve Distribuční sklad Benzina, a.s.) v městské části Liberec – Rochlice. Areál je částečně zastavěn průmyslovými a technologickými objekty, hlavní vjezd</w:t>
      </w:r>
      <w:r w:rsidR="008B75A4">
        <w:rPr>
          <w:rFonts w:asciiTheme="majorHAnsi" w:hAnsiTheme="majorHAnsi" w:cs="Times New Roman"/>
          <w:sz w:val="24"/>
          <w:szCs w:val="24"/>
        </w:rPr>
        <w:t xml:space="preserve"> </w:t>
      </w:r>
      <w:r w:rsidR="008B75A4" w:rsidRPr="00A00AC8">
        <w:rPr>
          <w:rFonts w:asciiTheme="majorHAnsi" w:hAnsiTheme="majorHAnsi" w:cs="Times New Roman"/>
          <w:sz w:val="24"/>
          <w:szCs w:val="24"/>
        </w:rPr>
        <w:t>pro nákladní automobily je z ulice Slovanská, vjezd pro osobní automobily</w:t>
      </w:r>
      <w:r w:rsidRPr="00C25ACB">
        <w:rPr>
          <w:rFonts w:asciiTheme="majorHAnsi" w:hAnsiTheme="majorHAnsi" w:cs="Times New Roman"/>
          <w:sz w:val="24"/>
          <w:szCs w:val="24"/>
        </w:rPr>
        <w:t xml:space="preserve"> je z ulice </w:t>
      </w:r>
      <w:r w:rsidR="008B75A4" w:rsidRPr="00A00AC8">
        <w:rPr>
          <w:rFonts w:asciiTheme="majorHAnsi" w:hAnsiTheme="majorHAnsi" w:cs="Times New Roman"/>
          <w:sz w:val="24"/>
          <w:szCs w:val="24"/>
        </w:rPr>
        <w:t>Kociánova</w:t>
      </w:r>
      <w:r w:rsidR="008B75A4">
        <w:rPr>
          <w:rFonts w:asciiTheme="majorHAnsi" w:hAnsiTheme="majorHAnsi" w:cs="Times New Roman"/>
          <w:sz w:val="24"/>
          <w:szCs w:val="24"/>
        </w:rPr>
        <w:t xml:space="preserve"> (</w:t>
      </w:r>
      <w:r w:rsidRPr="00C25ACB">
        <w:rPr>
          <w:rFonts w:asciiTheme="majorHAnsi" w:hAnsiTheme="majorHAnsi" w:cs="Times New Roman"/>
          <w:sz w:val="24"/>
          <w:szCs w:val="24"/>
        </w:rPr>
        <w:t>Kašparova</w:t>
      </w:r>
      <w:r w:rsidR="008B75A4">
        <w:rPr>
          <w:rFonts w:asciiTheme="majorHAnsi" w:hAnsiTheme="majorHAnsi" w:cs="Times New Roman"/>
          <w:sz w:val="24"/>
          <w:szCs w:val="24"/>
        </w:rPr>
        <w:t>)</w:t>
      </w:r>
      <w:r w:rsidRPr="00C25ACB">
        <w:rPr>
          <w:rFonts w:asciiTheme="majorHAnsi" w:hAnsiTheme="majorHAnsi" w:cs="Times New Roman"/>
          <w:sz w:val="24"/>
          <w:szCs w:val="24"/>
        </w:rPr>
        <w:t>, areálem protéká Doubský potok. Vzhledem k předpokládaným dosahům následků</w:t>
      </w:r>
      <w:r w:rsidR="00C25ACB" w:rsidRPr="00C25ACB">
        <w:rPr>
          <w:rFonts w:asciiTheme="majorHAnsi" w:hAnsiTheme="majorHAnsi" w:cs="Times New Roman"/>
          <w:sz w:val="24"/>
          <w:szCs w:val="24"/>
        </w:rPr>
        <w:t xml:space="preserve"> závažné havárie</w:t>
      </w:r>
      <w:r w:rsidRPr="00C25ACB">
        <w:rPr>
          <w:rFonts w:asciiTheme="majorHAnsi" w:hAnsiTheme="majorHAnsi" w:cs="Times New Roman"/>
          <w:sz w:val="24"/>
          <w:szCs w:val="24"/>
        </w:rPr>
        <w:t xml:space="preserve"> se v okolí areálu nevyskytují žádné významné objekty a poměry, které by zhoršily </w:t>
      </w:r>
      <w:r w:rsidR="00C25ACB" w:rsidRPr="00C25ACB">
        <w:rPr>
          <w:rFonts w:asciiTheme="majorHAnsi" w:hAnsiTheme="majorHAnsi" w:cs="Times New Roman"/>
          <w:sz w:val="24"/>
          <w:szCs w:val="24"/>
        </w:rPr>
        <w:t xml:space="preserve">její </w:t>
      </w:r>
      <w:r w:rsidRPr="00C25ACB">
        <w:rPr>
          <w:rFonts w:asciiTheme="majorHAnsi" w:hAnsiTheme="majorHAnsi" w:cs="Times New Roman"/>
          <w:sz w:val="24"/>
          <w:szCs w:val="24"/>
        </w:rPr>
        <w:t>následky</w:t>
      </w:r>
      <w:r w:rsidR="00C25ACB" w:rsidRPr="00C25ACB">
        <w:rPr>
          <w:rFonts w:asciiTheme="majorHAnsi" w:hAnsiTheme="majorHAnsi" w:cs="Times New Roman"/>
          <w:sz w:val="24"/>
          <w:szCs w:val="24"/>
        </w:rPr>
        <w:t>.</w:t>
      </w:r>
    </w:p>
    <w:p w:rsidR="000B6F42" w:rsidRPr="00C25ACB" w:rsidRDefault="000B6F42" w:rsidP="00EB0D05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B6F42" w:rsidRPr="00A00AC8" w:rsidRDefault="000B6F42" w:rsidP="00EB0D05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2. Dotčené subjekty podávající informaci</w:t>
      </w: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Krajský úřad Libereckého kraje, odbor životního prostředí a zemědělství, U Jezu 642/2a, Liberec,</w:t>
      </w: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Hasičský záchranný sbor Libereckého kraje, oddělení ochrany obyvatelstva a krizového řízení, Barvířská 29/10, Liberec,</w:t>
      </w: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Krajská hygienická stanice Libereckého kraje, Husova tř. 64, Liberec</w:t>
      </w:r>
    </w:p>
    <w:p w:rsidR="000B6F42" w:rsidRPr="00C25ACB" w:rsidRDefault="000B6F42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Česká inspekce životního prostředí, OI Liberec, třída 1. Máje 858/26, Liberec</w:t>
      </w:r>
    </w:p>
    <w:p w:rsidR="000B6F42" w:rsidRPr="00C25ACB" w:rsidRDefault="00BD364E" w:rsidP="00BD364E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Magistrát Města Liberec, oddělení krizového řízení, 1, máje 108/48, Liberec 2</w:t>
      </w:r>
    </w:p>
    <w:p w:rsidR="00BD364E" w:rsidRPr="00C25ACB" w:rsidRDefault="00BD364E" w:rsidP="00BD364E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D364E" w:rsidRPr="00C25ACB" w:rsidRDefault="00BD364E" w:rsidP="00BD364E">
      <w:p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3. Popis činnosti</w:t>
      </w:r>
    </w:p>
    <w:p w:rsidR="00BD364E" w:rsidRPr="00C25ACB" w:rsidRDefault="00BD364E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  <w:r w:rsidRPr="00C25ACB">
        <w:rPr>
          <w:rFonts w:asciiTheme="majorHAnsi" w:hAnsiTheme="majorHAnsi" w:cs="Times New Roman"/>
          <w:sz w:val="24"/>
          <w:szCs w:val="24"/>
        </w:rPr>
        <w:t>Provoz zařízení Výroba ERO = výroba esterifikovaných rostlinných olejů a živočišných tuků pro výrobu</w:t>
      </w:r>
      <w:r w:rsidR="00A00AC8">
        <w:rPr>
          <w:rFonts w:asciiTheme="majorHAnsi" w:hAnsiTheme="majorHAnsi" w:cs="Times New Roman"/>
          <w:sz w:val="24"/>
          <w:szCs w:val="24"/>
        </w:rPr>
        <w:t xml:space="preserve"> </w:t>
      </w:r>
      <w:r w:rsidR="008B75A4" w:rsidRPr="00A00AC8">
        <w:rPr>
          <w:rFonts w:asciiTheme="majorHAnsi" w:hAnsiTheme="majorHAnsi" w:cs="Times New Roman"/>
          <w:sz w:val="24"/>
          <w:szCs w:val="24"/>
        </w:rPr>
        <w:t>bio</w:t>
      </w:r>
      <w:r w:rsidRPr="00C25ACB">
        <w:rPr>
          <w:rFonts w:asciiTheme="majorHAnsi" w:hAnsiTheme="majorHAnsi" w:cs="Times New Roman"/>
          <w:sz w:val="24"/>
          <w:szCs w:val="24"/>
        </w:rPr>
        <w:t>nafty</w:t>
      </w:r>
      <w:r w:rsidR="00361F63" w:rsidRPr="00C25ACB">
        <w:rPr>
          <w:rFonts w:asciiTheme="majorHAnsi" w:hAnsiTheme="majorHAnsi" w:cs="Times New Roman"/>
          <w:sz w:val="24"/>
          <w:szCs w:val="24"/>
        </w:rPr>
        <w:t xml:space="preserve"> a s tím související manipulace a skladování surovin.</w:t>
      </w:r>
    </w:p>
    <w:p w:rsidR="00A81BB9" w:rsidRPr="00C25ACB" w:rsidRDefault="00A81BB9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 xml:space="preserve">Za účelem zhodnocení reálného rizika byl stanoven zdroj rizika zásobník </w:t>
      </w:r>
      <w:proofErr w:type="spellStart"/>
      <w:r w:rsidRPr="00C25ACB">
        <w:rPr>
          <w:rFonts w:asciiTheme="majorHAnsi" w:hAnsiTheme="majorHAnsi" w:cs="Times New Roman"/>
          <w:sz w:val="24"/>
          <w:szCs w:val="24"/>
        </w:rPr>
        <w:t>methanolu</w:t>
      </w:r>
      <w:proofErr w:type="spellEnd"/>
      <w:r w:rsidRPr="00C25ACB">
        <w:rPr>
          <w:rFonts w:asciiTheme="majorHAnsi" w:hAnsiTheme="majorHAnsi" w:cs="Times New Roman"/>
          <w:sz w:val="24"/>
          <w:szCs w:val="24"/>
        </w:rPr>
        <w:t xml:space="preserve"> – 4 shodné zásobníky umístěné v havarijní jímce, které představují největší kapacitu nebezpečné látky situované v objektu.</w:t>
      </w:r>
    </w:p>
    <w:p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4. Seznam nebezpečných látek</w:t>
      </w:r>
    </w:p>
    <w:p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48"/>
        <w:gridCol w:w="4335"/>
        <w:gridCol w:w="3402"/>
      </w:tblGrid>
      <w:tr w:rsidR="00361F63" w:rsidRPr="00C25ACB" w:rsidTr="00830E11">
        <w:tc>
          <w:tcPr>
            <w:tcW w:w="1443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Nebezpečná látka</w:t>
            </w:r>
          </w:p>
        </w:tc>
        <w:tc>
          <w:tcPr>
            <w:tcW w:w="4335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Nebezpečné vlastnosti</w:t>
            </w:r>
          </w:p>
        </w:tc>
        <w:tc>
          <w:tcPr>
            <w:tcW w:w="3402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b/>
                <w:sz w:val="24"/>
                <w:szCs w:val="24"/>
              </w:rPr>
              <w:t>Možný scénář závažné havárie</w:t>
            </w:r>
          </w:p>
        </w:tc>
      </w:tr>
      <w:tr w:rsidR="00361F63" w:rsidRPr="00C25ACB" w:rsidTr="00830E11">
        <w:tc>
          <w:tcPr>
            <w:tcW w:w="1443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</w:rPr>
            </w:pPr>
            <w:proofErr w:type="spellStart"/>
            <w:r w:rsidRPr="00C25ACB">
              <w:rPr>
                <w:rFonts w:asciiTheme="majorHAnsi" w:hAnsiTheme="majorHAnsi" w:cs="Times New Roman"/>
                <w:b/>
              </w:rPr>
              <w:t>Methanol</w:t>
            </w:r>
            <w:proofErr w:type="spellEnd"/>
          </w:p>
        </w:tc>
        <w:tc>
          <w:tcPr>
            <w:tcW w:w="4335" w:type="dxa"/>
          </w:tcPr>
          <w:p w:rsidR="00361F63" w:rsidRPr="00C25ACB" w:rsidRDefault="00361F63" w:rsidP="00361F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Vysoce hořlavá kapalina a páry</w:t>
            </w:r>
          </w:p>
          <w:p w:rsidR="00361F63" w:rsidRPr="00C25ACB" w:rsidRDefault="00361F63" w:rsidP="00361F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Toxický při vdechování</w:t>
            </w:r>
          </w:p>
          <w:p w:rsidR="00361F63" w:rsidRPr="00C25ACB" w:rsidRDefault="00B61E8A" w:rsidP="00361F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Toxi</w:t>
            </w:r>
            <w:r w:rsidR="00830E11" w:rsidRPr="00C25ACB">
              <w:rPr>
                <w:rFonts w:asciiTheme="majorHAnsi" w:hAnsiTheme="majorHAnsi" w:cs="Times New Roman"/>
              </w:rPr>
              <w:t>c</w:t>
            </w:r>
            <w:r w:rsidRPr="00C25ACB">
              <w:rPr>
                <w:rFonts w:asciiTheme="majorHAnsi" w:hAnsiTheme="majorHAnsi" w:cs="Times New Roman"/>
              </w:rPr>
              <w:t>ký při styku s kůží</w:t>
            </w:r>
          </w:p>
          <w:p w:rsidR="00B61E8A" w:rsidRPr="00C25ACB" w:rsidRDefault="00B61E8A" w:rsidP="00361F6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</w:rPr>
              <w:t>Toxický při požití</w:t>
            </w:r>
          </w:p>
        </w:tc>
        <w:tc>
          <w:tcPr>
            <w:tcW w:w="3402" w:type="dxa"/>
          </w:tcPr>
          <w:p w:rsidR="00361F63" w:rsidRPr="00C25ACB" w:rsidRDefault="00C51B99" w:rsidP="00A81BB9">
            <w:p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Masívní únik ze zásobníku do havarijní jímky, poté vypařování bez rizika otravy při vdechování, při iniciaci vznik plošného požáru</w:t>
            </w:r>
            <w:r w:rsidR="00A81BB9" w:rsidRPr="00C25ACB">
              <w:rPr>
                <w:rFonts w:asciiTheme="majorHAnsi" w:hAnsiTheme="majorHAnsi" w:cs="Times New Roman"/>
              </w:rPr>
              <w:t xml:space="preserve"> v záchytné jímce.</w:t>
            </w:r>
          </w:p>
        </w:tc>
      </w:tr>
      <w:tr w:rsidR="00361F63" w:rsidRPr="00C25ACB" w:rsidTr="00830E11">
        <w:tc>
          <w:tcPr>
            <w:tcW w:w="1443" w:type="dxa"/>
          </w:tcPr>
          <w:p w:rsidR="00361F63" w:rsidRPr="00C25ACB" w:rsidRDefault="00361F63" w:rsidP="00D67B5C">
            <w:pPr>
              <w:jc w:val="both"/>
              <w:rPr>
                <w:rFonts w:asciiTheme="majorHAnsi" w:hAnsiTheme="majorHAnsi" w:cs="Times New Roman"/>
                <w:b/>
              </w:rPr>
            </w:pPr>
            <w:proofErr w:type="spellStart"/>
            <w:r w:rsidRPr="00C25ACB">
              <w:rPr>
                <w:rFonts w:asciiTheme="majorHAnsi" w:hAnsiTheme="majorHAnsi" w:cs="Times New Roman"/>
                <w:b/>
              </w:rPr>
              <w:t>Methanolát</w:t>
            </w:r>
            <w:proofErr w:type="spellEnd"/>
            <w:r w:rsidRPr="00C25ACB">
              <w:rPr>
                <w:rFonts w:asciiTheme="majorHAnsi" w:hAnsiTheme="majorHAnsi" w:cs="Times New Roman"/>
                <w:b/>
              </w:rPr>
              <w:t xml:space="preserve"> sodný</w:t>
            </w:r>
            <w:r w:rsidR="00D67B5C" w:rsidRPr="00C25ACB">
              <w:rPr>
                <w:rFonts w:asciiTheme="majorHAnsi" w:hAnsiTheme="majorHAnsi" w:cs="Times New Roman"/>
                <w:b/>
              </w:rPr>
              <w:t xml:space="preserve"> v </w:t>
            </w:r>
            <w:proofErr w:type="spellStart"/>
            <w:r w:rsidR="00D67B5C" w:rsidRPr="00C25ACB">
              <w:rPr>
                <w:rFonts w:asciiTheme="majorHAnsi" w:hAnsiTheme="majorHAnsi" w:cs="Times New Roman"/>
                <w:b/>
              </w:rPr>
              <w:t>methanolu</w:t>
            </w:r>
            <w:proofErr w:type="spellEnd"/>
          </w:p>
        </w:tc>
        <w:tc>
          <w:tcPr>
            <w:tcW w:w="4335" w:type="dxa"/>
          </w:tcPr>
          <w:p w:rsidR="00361F63" w:rsidRPr="00C25ACB" w:rsidRDefault="00B61E8A" w:rsidP="00B61E8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Samovolně se zahřívá, může se vznítit</w:t>
            </w:r>
          </w:p>
          <w:p w:rsidR="00B61E8A" w:rsidRPr="00C25ACB" w:rsidRDefault="00B61E8A" w:rsidP="00B61E8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Vysoce hořlavá kapalina a páry</w:t>
            </w:r>
          </w:p>
          <w:p w:rsidR="00B61E8A" w:rsidRPr="00C25ACB" w:rsidRDefault="00B61E8A" w:rsidP="00B61E8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Toxický při vdechování</w:t>
            </w:r>
          </w:p>
          <w:p w:rsidR="00B61E8A" w:rsidRPr="00C25ACB" w:rsidRDefault="00B61E8A" w:rsidP="00B61E8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Toxický při styku s</w:t>
            </w:r>
            <w:r w:rsidR="00D512DE" w:rsidRPr="00C25ACB">
              <w:rPr>
                <w:rFonts w:asciiTheme="majorHAnsi" w:hAnsiTheme="majorHAnsi" w:cs="Times New Roman"/>
              </w:rPr>
              <w:t> </w:t>
            </w:r>
            <w:r w:rsidRPr="00C25ACB">
              <w:rPr>
                <w:rFonts w:asciiTheme="majorHAnsi" w:hAnsiTheme="majorHAnsi" w:cs="Times New Roman"/>
              </w:rPr>
              <w:t>kůží</w:t>
            </w:r>
          </w:p>
          <w:p w:rsidR="00D512DE" w:rsidRPr="00C25ACB" w:rsidRDefault="00D512DE" w:rsidP="00D512DE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</w:rPr>
              <w:t>Toxický při požití</w:t>
            </w:r>
          </w:p>
        </w:tc>
        <w:tc>
          <w:tcPr>
            <w:tcW w:w="3402" w:type="dxa"/>
          </w:tcPr>
          <w:p w:rsidR="00361F63" w:rsidRPr="00C25ACB" w:rsidRDefault="00C51B99" w:rsidP="00BD364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sz w:val="24"/>
                <w:szCs w:val="24"/>
              </w:rPr>
              <w:t>Vzhledem k technologii výroby se neuvažuje.</w:t>
            </w:r>
          </w:p>
        </w:tc>
      </w:tr>
      <w:tr w:rsidR="00361F63" w:rsidRPr="00C25ACB" w:rsidTr="00830E11">
        <w:tc>
          <w:tcPr>
            <w:tcW w:w="1443" w:type="dxa"/>
          </w:tcPr>
          <w:p w:rsidR="00361F63" w:rsidRPr="00C25ACB" w:rsidRDefault="00361F63" w:rsidP="00BD364E">
            <w:pPr>
              <w:jc w:val="both"/>
              <w:rPr>
                <w:rFonts w:asciiTheme="majorHAnsi" w:hAnsiTheme="majorHAnsi" w:cs="Times New Roman"/>
                <w:b/>
              </w:rPr>
            </w:pPr>
            <w:r w:rsidRPr="00C25ACB">
              <w:rPr>
                <w:rFonts w:asciiTheme="majorHAnsi" w:hAnsiTheme="majorHAnsi" w:cs="Times New Roman"/>
                <w:b/>
              </w:rPr>
              <w:t>Zemní plyn</w:t>
            </w:r>
          </w:p>
        </w:tc>
        <w:tc>
          <w:tcPr>
            <w:tcW w:w="4335" w:type="dxa"/>
          </w:tcPr>
          <w:p w:rsidR="00361F63" w:rsidRPr="00C25ACB" w:rsidRDefault="00B61E8A" w:rsidP="00B61E8A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ajorHAnsi" w:hAnsiTheme="majorHAnsi" w:cs="Times New Roman"/>
              </w:rPr>
            </w:pPr>
            <w:r w:rsidRPr="00C25ACB">
              <w:rPr>
                <w:rFonts w:asciiTheme="majorHAnsi" w:hAnsiTheme="majorHAnsi" w:cs="Times New Roman"/>
              </w:rPr>
              <w:t>Extrémně hořlavý plyn</w:t>
            </w:r>
          </w:p>
        </w:tc>
        <w:tc>
          <w:tcPr>
            <w:tcW w:w="3402" w:type="dxa"/>
          </w:tcPr>
          <w:p w:rsidR="00361F63" w:rsidRPr="00C25ACB" w:rsidRDefault="00C51B99" w:rsidP="00BD364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C25ACB">
              <w:rPr>
                <w:rFonts w:asciiTheme="majorHAnsi" w:hAnsiTheme="majorHAnsi" w:cs="Times New Roman"/>
                <w:sz w:val="24"/>
                <w:szCs w:val="24"/>
              </w:rPr>
              <w:t>Neuvažuje se.</w:t>
            </w:r>
          </w:p>
        </w:tc>
      </w:tr>
    </w:tbl>
    <w:p w:rsidR="00361F63" w:rsidRPr="00C25ACB" w:rsidRDefault="00361F63" w:rsidP="00BD364E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BD364E" w:rsidRPr="00C25ACB" w:rsidRDefault="00D67B5C" w:rsidP="00D67B5C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5. Informace o způsobu varování osob a jejich žádoucím chování v případě vzniku závažné havárie</w:t>
      </w:r>
    </w:p>
    <w:p w:rsidR="00D67B5C" w:rsidRPr="00C25ACB" w:rsidRDefault="00D67B5C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 xml:space="preserve">Z analýzy rizik vyplývá, že pravděpodobnost havárie s možnými následky mimo území objektu je nízká a z vyhodnocení rizik </w:t>
      </w:r>
      <w:r w:rsidR="00A81BB9" w:rsidRPr="00C25ACB">
        <w:rPr>
          <w:rFonts w:asciiTheme="majorHAnsi" w:hAnsiTheme="majorHAnsi" w:cs="Times New Roman"/>
          <w:sz w:val="24"/>
          <w:szCs w:val="24"/>
        </w:rPr>
        <w:t>lze konstatovat, že riziko plynoucí z provozované činnosti v objektu je přijatelné.</w:t>
      </w:r>
    </w:p>
    <w:p w:rsidR="00D67B5C" w:rsidRPr="00C25ACB" w:rsidRDefault="00D67B5C" w:rsidP="00D67B5C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sz w:val="24"/>
          <w:szCs w:val="24"/>
        </w:rPr>
        <w:t>Možnost varování osob v případě vzniku</w:t>
      </w:r>
      <w:r w:rsidR="00AC7CD3" w:rsidRPr="00C25ACB">
        <w:rPr>
          <w:rFonts w:asciiTheme="majorHAnsi" w:hAnsiTheme="majorHAnsi" w:cs="Times New Roman"/>
          <w:sz w:val="24"/>
          <w:szCs w:val="24"/>
        </w:rPr>
        <w:t xml:space="preserve"> závažné havárie bezpečnostní dokumentace neřeší. V případě zpozorování havárie nebo úniku skladované látky ohlásit tuto skutečnost na </w:t>
      </w:r>
      <w:r w:rsidR="00AC7CD3" w:rsidRPr="00C25ACB">
        <w:rPr>
          <w:rFonts w:asciiTheme="majorHAnsi" w:hAnsiTheme="majorHAnsi" w:cs="Times New Roman"/>
          <w:b/>
          <w:sz w:val="24"/>
          <w:szCs w:val="24"/>
          <w:u w:val="single"/>
        </w:rPr>
        <w:t>telefonní čísla 150 nebo 112.</w:t>
      </w:r>
    </w:p>
    <w:p w:rsidR="00A81BB9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  <w:u w:val="single"/>
        </w:rPr>
      </w:pPr>
    </w:p>
    <w:p w:rsidR="001C3C95" w:rsidRPr="00C25ACB" w:rsidRDefault="001C3C95" w:rsidP="00D67B5C">
      <w:pPr>
        <w:spacing w:after="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25ACB">
        <w:rPr>
          <w:rFonts w:asciiTheme="majorHAnsi" w:hAnsiTheme="majorHAnsi" w:cs="Times New Roman"/>
          <w:b/>
          <w:sz w:val="24"/>
          <w:szCs w:val="24"/>
          <w:u w:val="single"/>
        </w:rPr>
        <w:t>Pokyny:</w:t>
      </w:r>
    </w:p>
    <w:p w:rsidR="00AC7CD3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A</w:t>
      </w:r>
      <w:r w:rsidR="00AC7CD3" w:rsidRPr="00C25ACB">
        <w:rPr>
          <w:rFonts w:asciiTheme="majorHAnsi" w:hAnsiTheme="majorHAnsi" w:cs="Times New Roman"/>
          <w:sz w:val="24"/>
          <w:szCs w:val="24"/>
        </w:rPr>
        <w:t xml:space="preserve">. </w:t>
      </w:r>
      <w:r w:rsidR="001C3C95" w:rsidRPr="00C25ACB">
        <w:rPr>
          <w:rFonts w:asciiTheme="majorHAnsi" w:hAnsiTheme="majorHAnsi" w:cs="Times New Roman"/>
          <w:sz w:val="24"/>
          <w:szCs w:val="24"/>
        </w:rPr>
        <w:t>N</w:t>
      </w:r>
      <w:r w:rsidR="00AC7CD3" w:rsidRPr="00C25ACB">
        <w:rPr>
          <w:rFonts w:asciiTheme="majorHAnsi" w:hAnsiTheme="majorHAnsi" w:cs="Times New Roman"/>
          <w:sz w:val="24"/>
          <w:szCs w:val="24"/>
        </w:rPr>
        <w:t xml:space="preserve">ezdržovat se v bezprostřední blízkosti místa vzniku havárie, </w:t>
      </w:r>
      <w:r w:rsidR="001C3C95" w:rsidRPr="00C25ACB">
        <w:rPr>
          <w:rFonts w:asciiTheme="majorHAnsi" w:hAnsiTheme="majorHAnsi" w:cs="Times New Roman"/>
          <w:sz w:val="24"/>
          <w:szCs w:val="24"/>
        </w:rPr>
        <w:t>ukrýt se v bezpečných a neohrožovaných budovách, uzavřít okna a dveře.</w:t>
      </w:r>
    </w:p>
    <w:p w:rsidR="001C3C95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B</w:t>
      </w:r>
      <w:r w:rsidR="001C3C95" w:rsidRPr="00C25ACB">
        <w:rPr>
          <w:rFonts w:asciiTheme="majorHAnsi" w:hAnsiTheme="majorHAnsi" w:cs="Times New Roman"/>
          <w:sz w:val="24"/>
          <w:szCs w:val="24"/>
        </w:rPr>
        <w:t xml:space="preserve">. </w:t>
      </w:r>
      <w:r w:rsidR="00B71B45">
        <w:rPr>
          <w:rFonts w:asciiTheme="majorHAnsi" w:hAnsiTheme="majorHAnsi" w:cs="Times New Roman"/>
          <w:sz w:val="24"/>
          <w:szCs w:val="24"/>
        </w:rPr>
        <w:t>V</w:t>
      </w:r>
      <w:r w:rsidR="001C3C95" w:rsidRPr="00C25ACB">
        <w:rPr>
          <w:rFonts w:asciiTheme="majorHAnsi" w:hAnsiTheme="majorHAnsi" w:cs="Times New Roman"/>
          <w:sz w:val="24"/>
          <w:szCs w:val="24"/>
        </w:rPr>
        <w:t>ypnout ventilaci</w:t>
      </w:r>
    </w:p>
    <w:p w:rsidR="001C3C95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C</w:t>
      </w:r>
      <w:r w:rsidR="001C3C95" w:rsidRPr="00C25ACB">
        <w:rPr>
          <w:rFonts w:asciiTheme="majorHAnsi" w:hAnsiTheme="majorHAnsi" w:cs="Times New Roman"/>
          <w:sz w:val="24"/>
          <w:szCs w:val="24"/>
        </w:rPr>
        <w:t>. V prostoru úniku nebezpečné látky nemanipulovat s otevřeným ohněm a nepoužívat elektronické přístroje nebo elektrické spotřebiče.</w:t>
      </w:r>
    </w:p>
    <w:p w:rsidR="001C3C95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D</w:t>
      </w:r>
      <w:r w:rsidR="001C3C95" w:rsidRPr="00C25ACB">
        <w:rPr>
          <w:rFonts w:asciiTheme="majorHAnsi" w:hAnsiTheme="majorHAnsi" w:cs="Times New Roman"/>
          <w:sz w:val="24"/>
          <w:szCs w:val="24"/>
        </w:rPr>
        <w:t>. K ochraně proti sálavému teplu z požáru lze použít navlhčený oděv, celý povrch těla musí být zakryt.</w:t>
      </w:r>
    </w:p>
    <w:p w:rsidR="001C3C95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E</w:t>
      </w:r>
      <w:r w:rsidR="001C3C95" w:rsidRPr="00C25ACB">
        <w:rPr>
          <w:rFonts w:asciiTheme="majorHAnsi" w:hAnsiTheme="majorHAnsi" w:cs="Times New Roman"/>
          <w:sz w:val="24"/>
          <w:szCs w:val="24"/>
        </w:rPr>
        <w:t>. K ochraně dýchacích cest před zplodinami z hoření lze použít p</w:t>
      </w:r>
      <w:r w:rsidRPr="00C25ACB">
        <w:rPr>
          <w:rFonts w:asciiTheme="majorHAnsi" w:hAnsiTheme="majorHAnsi" w:cs="Times New Roman"/>
          <w:sz w:val="24"/>
          <w:szCs w:val="24"/>
        </w:rPr>
        <w:t xml:space="preserve">řekrytí úst a nosu kusem látky </w:t>
      </w:r>
      <w:r w:rsidR="001C3C95" w:rsidRPr="00C25ACB">
        <w:rPr>
          <w:rFonts w:asciiTheme="majorHAnsi" w:hAnsiTheme="majorHAnsi" w:cs="Times New Roman"/>
          <w:sz w:val="24"/>
          <w:szCs w:val="24"/>
        </w:rPr>
        <w:t>navlhčeným ve vodě nebo vodném roztoku kyseliny citronové nebo sody.</w:t>
      </w:r>
    </w:p>
    <w:p w:rsidR="001C3C95" w:rsidRPr="00C25ACB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F</w:t>
      </w:r>
      <w:r w:rsidR="001C3C95" w:rsidRPr="00C25ACB">
        <w:rPr>
          <w:rFonts w:asciiTheme="majorHAnsi" w:hAnsiTheme="majorHAnsi" w:cs="Times New Roman"/>
          <w:sz w:val="24"/>
          <w:szCs w:val="24"/>
        </w:rPr>
        <w:t>. Poskytnout první pomoc zraněným, zvláště pak dětem a starším osobám a lidem s postižením.</w:t>
      </w:r>
    </w:p>
    <w:p w:rsidR="001C3C95" w:rsidRPr="00AF0C64" w:rsidRDefault="00A81BB9" w:rsidP="00D67B5C">
      <w:pPr>
        <w:spacing w:after="0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AF0C64">
        <w:rPr>
          <w:rFonts w:asciiTheme="majorHAnsi" w:hAnsiTheme="majorHAnsi" w:cs="Times New Roman"/>
          <w:sz w:val="24"/>
          <w:szCs w:val="24"/>
          <w:u w:val="single"/>
        </w:rPr>
        <w:t>G</w:t>
      </w:r>
      <w:r w:rsidR="001C3C95" w:rsidRPr="00AF0C64">
        <w:rPr>
          <w:rFonts w:asciiTheme="majorHAnsi" w:hAnsiTheme="majorHAnsi" w:cs="Times New Roman"/>
          <w:sz w:val="24"/>
          <w:szCs w:val="24"/>
          <w:u w:val="single"/>
        </w:rPr>
        <w:t>. Řídit se pokyny složek Integrovaného záchranného systému.</w:t>
      </w:r>
    </w:p>
    <w:p w:rsidR="001C3C95" w:rsidRPr="00C25ACB" w:rsidRDefault="001C3C95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C3C95" w:rsidRPr="00C25ACB" w:rsidRDefault="001C3C95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b/>
          <w:sz w:val="24"/>
          <w:szCs w:val="24"/>
        </w:rPr>
        <w:t>6.</w:t>
      </w:r>
      <w:r w:rsidRPr="00C25ACB">
        <w:rPr>
          <w:rFonts w:asciiTheme="majorHAnsi" w:hAnsiTheme="majorHAnsi" w:cs="Times New Roman"/>
          <w:sz w:val="24"/>
          <w:szCs w:val="24"/>
        </w:rPr>
        <w:t xml:space="preserve"> Objekt výroby Temperatior s.r.o. je pravidelně kontrolován orgány integrované inspekce (Česká inspekce životního prostředí, Krajská hygienická stanice, Hasičský záchranný sbor, Oblastní inspektorát práce, krajský úřad), poslední kontrola byla provedena </w:t>
      </w:r>
      <w:r w:rsidR="00A81BB9" w:rsidRPr="00C25ACB">
        <w:rPr>
          <w:rFonts w:asciiTheme="majorHAnsi" w:hAnsiTheme="majorHAnsi" w:cs="Times New Roman"/>
          <w:sz w:val="24"/>
          <w:szCs w:val="24"/>
        </w:rPr>
        <w:t xml:space="preserve">dne </w:t>
      </w:r>
      <w:proofErr w:type="gramStart"/>
      <w:r w:rsidR="00A81BB9" w:rsidRPr="00C25ACB">
        <w:rPr>
          <w:rFonts w:asciiTheme="majorHAnsi" w:hAnsiTheme="majorHAnsi" w:cs="Times New Roman"/>
          <w:sz w:val="24"/>
          <w:szCs w:val="24"/>
        </w:rPr>
        <w:t>31.3.2016</w:t>
      </w:r>
      <w:proofErr w:type="gramEnd"/>
      <w:r w:rsidR="00A81BB9" w:rsidRPr="00C25ACB">
        <w:rPr>
          <w:rFonts w:asciiTheme="majorHAnsi" w:hAnsiTheme="majorHAnsi" w:cs="Times New Roman"/>
          <w:sz w:val="24"/>
          <w:szCs w:val="24"/>
        </w:rPr>
        <w:t>.</w:t>
      </w:r>
    </w:p>
    <w:p w:rsidR="00C25ACB" w:rsidRPr="00C25ACB" w:rsidRDefault="00C25ACB" w:rsidP="00D67B5C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C25ACB">
        <w:rPr>
          <w:rFonts w:asciiTheme="majorHAnsi" w:hAnsiTheme="majorHAnsi" w:cs="Times New Roman"/>
          <w:sz w:val="24"/>
          <w:szCs w:val="24"/>
        </w:rPr>
        <w:t>Podrobnější informace lze dle zákona č. 123/1998 Sb., o právu na informace o životním prostředí, ve znění pozdějších předpisů, získat na Krajském úřadě Libereckého kraje, odboru životního prostředí a zemědělství a dále u orgánů, které se podílejí na integrované inspekci zařízení.</w:t>
      </w:r>
    </w:p>
    <w:p w:rsidR="00D67B5C" w:rsidRPr="00D67B5C" w:rsidRDefault="00D67B5C" w:rsidP="00D67B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64E" w:rsidRP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D364E" w:rsidRPr="00BD364E" w:rsidRDefault="00BD364E" w:rsidP="00BD3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D05" w:rsidRDefault="00EB0D05" w:rsidP="00EB0D05">
      <w:pPr>
        <w:rPr>
          <w:rFonts w:ascii="Times New Roman" w:hAnsi="Times New Roman" w:cs="Times New Roman"/>
          <w:sz w:val="24"/>
          <w:szCs w:val="24"/>
        </w:rPr>
      </w:pPr>
    </w:p>
    <w:p w:rsidR="00B71B4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p w:rsidR="00B71B4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p w:rsidR="00B71B45" w:rsidRPr="00EB0D05" w:rsidRDefault="00B71B45" w:rsidP="00EB0D05">
      <w:pPr>
        <w:rPr>
          <w:rFonts w:ascii="Times New Roman" w:hAnsi="Times New Roman" w:cs="Times New Roman"/>
          <w:sz w:val="24"/>
          <w:szCs w:val="24"/>
        </w:rPr>
      </w:pPr>
    </w:p>
    <w:sectPr w:rsidR="00B71B45" w:rsidRPr="00EB0D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59" w:rsidRDefault="00E91759" w:rsidP="00B71B45">
      <w:pPr>
        <w:spacing w:after="0" w:line="240" w:lineRule="auto"/>
      </w:pPr>
      <w:r>
        <w:separator/>
      </w:r>
    </w:p>
  </w:endnote>
  <w:endnote w:type="continuationSeparator" w:id="0">
    <w:p w:rsidR="00E91759" w:rsidRDefault="00E91759" w:rsidP="00B7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45" w:rsidRDefault="00B71B45">
    <w:pPr>
      <w:pStyle w:val="Zpat"/>
    </w:pPr>
    <w:r>
      <w:t>Informace pro veřejnost pro objekty zařazené do skupiny A</w:t>
    </w:r>
    <w:r>
      <w:tab/>
      <w:t xml:space="preserve">                                                      </w:t>
    </w:r>
    <w:r w:rsidR="00AF0C64">
      <w:t>leden 2018</w:t>
    </w:r>
  </w:p>
  <w:p w:rsidR="00B71B45" w:rsidRDefault="00B71B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59" w:rsidRDefault="00E91759" w:rsidP="00B71B45">
      <w:pPr>
        <w:spacing w:after="0" w:line="240" w:lineRule="auto"/>
      </w:pPr>
      <w:r>
        <w:separator/>
      </w:r>
    </w:p>
  </w:footnote>
  <w:footnote w:type="continuationSeparator" w:id="0">
    <w:p w:rsidR="00E91759" w:rsidRDefault="00E91759" w:rsidP="00B7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ED4"/>
    <w:multiLevelType w:val="hybridMultilevel"/>
    <w:tmpl w:val="90E0587C"/>
    <w:lvl w:ilvl="0" w:tplc="2EDC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A"/>
    <w:rsid w:val="000B6F42"/>
    <w:rsid w:val="00166739"/>
    <w:rsid w:val="001C3C95"/>
    <w:rsid w:val="002920A6"/>
    <w:rsid w:val="00361F63"/>
    <w:rsid w:val="00404A1B"/>
    <w:rsid w:val="006C662A"/>
    <w:rsid w:val="00830E11"/>
    <w:rsid w:val="008B75A4"/>
    <w:rsid w:val="008E089D"/>
    <w:rsid w:val="00961428"/>
    <w:rsid w:val="00A00AC8"/>
    <w:rsid w:val="00A81BB9"/>
    <w:rsid w:val="00AC7CD3"/>
    <w:rsid w:val="00AF0C64"/>
    <w:rsid w:val="00B55735"/>
    <w:rsid w:val="00B61E8A"/>
    <w:rsid w:val="00B71B45"/>
    <w:rsid w:val="00BD364E"/>
    <w:rsid w:val="00C25ACB"/>
    <w:rsid w:val="00C51B99"/>
    <w:rsid w:val="00D512DE"/>
    <w:rsid w:val="00D67B5C"/>
    <w:rsid w:val="00E91759"/>
    <w:rsid w:val="00E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2"/>
    <w:pPr>
      <w:ind w:left="720"/>
      <w:contextualSpacing/>
    </w:pPr>
  </w:style>
  <w:style w:type="table" w:styleId="Mkatabulky">
    <w:name w:val="Table Grid"/>
    <w:basedOn w:val="Normlntabulka"/>
    <w:uiPriority w:val="59"/>
    <w:rsid w:val="0036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B45"/>
  </w:style>
  <w:style w:type="paragraph" w:styleId="Zpat">
    <w:name w:val="footer"/>
    <w:basedOn w:val="Normln"/>
    <w:link w:val="Zpat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B45"/>
  </w:style>
  <w:style w:type="paragraph" w:styleId="Textbubliny">
    <w:name w:val="Balloon Text"/>
    <w:basedOn w:val="Normln"/>
    <w:link w:val="TextbublinyChar"/>
    <w:uiPriority w:val="99"/>
    <w:semiHidden/>
    <w:unhideWhenUsed/>
    <w:rsid w:val="00B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F42"/>
    <w:pPr>
      <w:ind w:left="720"/>
      <w:contextualSpacing/>
    </w:pPr>
  </w:style>
  <w:style w:type="table" w:styleId="Mkatabulky">
    <w:name w:val="Table Grid"/>
    <w:basedOn w:val="Normlntabulka"/>
    <w:uiPriority w:val="59"/>
    <w:rsid w:val="0036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B45"/>
  </w:style>
  <w:style w:type="paragraph" w:styleId="Zpat">
    <w:name w:val="footer"/>
    <w:basedOn w:val="Normln"/>
    <w:link w:val="ZpatChar"/>
    <w:uiPriority w:val="99"/>
    <w:unhideWhenUsed/>
    <w:rsid w:val="00B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B45"/>
  </w:style>
  <w:style w:type="paragraph" w:styleId="Textbubliny">
    <w:name w:val="Balloon Text"/>
    <w:basedOn w:val="Normln"/>
    <w:link w:val="TextbublinyChar"/>
    <w:uiPriority w:val="99"/>
    <w:semiHidden/>
    <w:unhideWhenUsed/>
    <w:rsid w:val="00B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Svacinkova Katerina</dc:creator>
  <cp:lastModifiedBy>Svacinkova Katerina</cp:lastModifiedBy>
  <cp:revision>2</cp:revision>
  <dcterms:created xsi:type="dcterms:W3CDTF">2018-01-17T09:26:00Z</dcterms:created>
  <dcterms:modified xsi:type="dcterms:W3CDTF">2018-01-17T09:26:00Z</dcterms:modified>
</cp:coreProperties>
</file>